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What factors are stimulating</w:t>
      </w:r>
      <w:bookmarkStart w:id="0" w:name="_GoBack"/>
      <w:bookmarkEnd w:id="0"/>
      <w:r>
        <w:rPr>
          <w:rFonts w:ascii="Times New Roman" w:cs="Times New Roman" w:hAnsi="Times New Roman"/>
          <w:b/>
          <w:sz w:val="24"/>
          <w:szCs w:val="24"/>
        </w:rPr>
        <w:t>—or are expected to stimulate a reorientation of the U.S. health services system from curative to primary care? How pervasive do you think this reorientation may become?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Primary healthcare plays a critical in the health care system. Curative care, on the other hand, involves attending to patients with the main intention to cure and not to prevent the sicknesses or ailments. Primary health care, unlike curative care, focuses on preventive measures to help minimize the incidence of morbidity. The current healthcare system in the United States is mainly </w:t>
      </w:r>
      <w:r>
        <w:rPr>
          <w:rFonts w:ascii="Times New Roman" w:cs="Times New Roman" w:hAnsi="Times New Roman"/>
          <w:sz w:val="24"/>
          <w:szCs w:val="24"/>
        </w:rPr>
        <w:t>signaling</w:t>
      </w:r>
      <w:r>
        <w:rPr>
          <w:rFonts w:ascii="Times New Roman" w:cs="Times New Roman" w:hAnsi="Times New Roman"/>
          <w:sz w:val="24"/>
          <w:szCs w:val="24"/>
        </w:rPr>
        <w:t xml:space="preserve"> towards primary care from curative care. However, this has been largely influenced by the healthcare policies and changing healthcare environment. The enactment of the Affordable Care Act in 2010 was one such strategy that the government has made in an attempt to create a primary care system and move away from the curative system that has been there for long. Policies like the ACA were created with the intention of dispensing primary healthcare to American citizens.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Other factors that influence the U.S. moving to primary care away from curative care include a limited concentration in curative care. The curative care system focuses on treating diseases. The curative system focuses on providing short-term solutions to healthcare problems. This has also been a challenge to the implementation of primary care policies like ACA. Even though it was enacted to help reduce the curative system approach, ACA has not been successful. This has been attributed to many factors including political climate and the complex, multifaceted process involved. According to Johansson et al. (2010), implementation of a more health-oriented service is complex and multifaceted as it requires various changes in the working methods as well as professional </w:t>
      </w:r>
      <w:r>
        <w:rPr>
          <w:rFonts w:ascii="Times New Roman" w:cs="Times New Roman" w:hAnsi="Times New Roman"/>
          <w:sz w:val="24"/>
          <w:szCs w:val="24"/>
        </w:rPr>
        <w:t>behaviors</w:t>
      </w:r>
      <w:r>
        <w:rPr>
          <w:rFonts w:ascii="Times New Roman" w:cs="Times New Roman" w:hAnsi="Times New Roman"/>
          <w:sz w:val="24"/>
          <w:szCs w:val="24"/>
        </w:rPr>
        <w:t>.</w:t>
      </w: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Johansson, H., </w:t>
      </w:r>
      <w:r>
        <w:rPr>
          <w:rFonts w:ascii="Times New Roman" w:cs="Times New Roman" w:hAnsi="Times New Roman"/>
          <w:color w:val="222222"/>
          <w:sz w:val="24"/>
          <w:szCs w:val="24"/>
          <w:shd w:val="clear" w:color="auto" w:fill="ffffff"/>
        </w:rPr>
        <w:t>Stenlund</w:t>
      </w:r>
      <w:r>
        <w:rPr>
          <w:rFonts w:ascii="Times New Roman" w:cs="Times New Roman" w:hAnsi="Times New Roman"/>
          <w:color w:val="222222"/>
          <w:sz w:val="24"/>
          <w:szCs w:val="24"/>
          <w:shd w:val="clear" w:color="auto" w:fill="ffffff"/>
        </w:rPr>
        <w:t xml:space="preserve">, H., </w:t>
      </w:r>
      <w:r>
        <w:rPr>
          <w:rFonts w:ascii="Times New Roman" w:cs="Times New Roman" w:hAnsi="Times New Roman"/>
          <w:color w:val="222222"/>
          <w:sz w:val="24"/>
          <w:szCs w:val="24"/>
          <w:shd w:val="clear" w:color="auto" w:fill="ffffff"/>
        </w:rPr>
        <w:t>Lundström</w:t>
      </w:r>
      <w:r>
        <w:rPr>
          <w:rFonts w:ascii="Times New Roman" w:cs="Times New Roman" w:hAnsi="Times New Roman"/>
          <w:color w:val="222222"/>
          <w:sz w:val="24"/>
          <w:szCs w:val="24"/>
          <w:shd w:val="clear" w:color="auto" w:fill="ffffff"/>
        </w:rPr>
        <w:t xml:space="preserve">, L., &amp; </w:t>
      </w:r>
      <w:r>
        <w:rPr>
          <w:rFonts w:ascii="Times New Roman" w:cs="Times New Roman" w:hAnsi="Times New Roman"/>
          <w:color w:val="222222"/>
          <w:sz w:val="24"/>
          <w:szCs w:val="24"/>
          <w:shd w:val="clear" w:color="auto" w:fill="ffffff"/>
        </w:rPr>
        <w:t>Weinehall</w:t>
      </w:r>
      <w:r>
        <w:rPr>
          <w:rFonts w:ascii="Times New Roman" w:cs="Times New Roman" w:hAnsi="Times New Roman"/>
          <w:color w:val="222222"/>
          <w:sz w:val="24"/>
          <w:szCs w:val="24"/>
          <w:shd w:val="clear" w:color="auto" w:fill="ffffff"/>
        </w:rPr>
        <w:t>, L. (2010).</w:t>
      </w:r>
      <w:r>
        <w:rPr>
          <w:rFonts w:ascii="Times New Roman" w:cs="Times New Roman" w:hAnsi="Times New Roman"/>
          <w:color w:val="222222"/>
          <w:sz w:val="24"/>
          <w:szCs w:val="24"/>
          <w:shd w:val="clear" w:color="auto" w:fill="ffffff"/>
        </w:rPr>
        <w:t xml:space="preserve"> Reorientation to more health promotion in health services–a study of barriers and possibilities from the perspective of health professionals. </w:t>
      </w:r>
      <w:r>
        <w:rPr>
          <w:rFonts w:ascii="Times New Roman" w:cs="Times New Roman" w:hAnsi="Times New Roman"/>
          <w:i/>
          <w:iCs/>
          <w:color w:val="222222"/>
          <w:sz w:val="24"/>
          <w:szCs w:val="24"/>
          <w:shd w:val="clear" w:color="auto" w:fill="ffffff"/>
        </w:rPr>
        <w:t>Journal of multidisciplinary healthcare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w:t>
      </w:r>
      <w:r>
        <w:rPr>
          <w:rFonts w:ascii="Times New Roman" w:cs="Times New Roman" w:hAnsi="Times New Roman"/>
          <w:color w:val="222222"/>
          <w:sz w:val="24"/>
          <w:szCs w:val="24"/>
          <w:shd w:val="clear" w:color="auto" w:fill="ffffff"/>
        </w:rPr>
        <w:t>, 213.</w:t>
      </w:r>
    </w:p>
    <w:p>
      <w:pPr>
        <w:pStyle w:val="style0"/>
        <w:spacing w:after="0" w:lineRule="auto" w:line="480"/>
        <w:ind w:firstLine="72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2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324</Words>
  <Pages>2</Pages>
  <Characters>1799</Characters>
  <Application>WPS Office</Application>
  <DocSecurity>0</DocSecurity>
  <Paragraphs>7</Paragraphs>
  <ScaleCrop>false</ScaleCrop>
  <LinksUpToDate>false</LinksUpToDate>
  <CharactersWithSpaces>2117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2020-10-02T17:48:02Z</dcterms:created>
  <dc:creator>Hp</dc:creator>
  <lastModifiedBy>STK-L21</lastModifiedBy>
  <dcterms:modified xsi:type="dcterms:W3CDTF">2020-10-02T17:48:03Z</dcterms:modified>
  <revision>1</revision>
</coreProperties>
</file>

<file path=docProps/custom.xml><?xml version="1.0" encoding="utf-8"?>
<Properties xmlns="http://schemas.openxmlformats.org/officeDocument/2006/custom-properties" xmlns:vt="http://schemas.openxmlformats.org/officeDocument/2006/docPropsVTypes"/>
</file>